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3009" w14:textId="77777777" w:rsidR="009F7671" w:rsidRPr="00BA4542" w:rsidRDefault="009F7671" w:rsidP="009F767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bCs/>
          <w:sz w:val="20"/>
          <w:szCs w:val="20"/>
        </w:rPr>
      </w:pPr>
    </w:p>
    <w:p w14:paraId="7817BF26" w14:textId="60476C0D" w:rsidR="009F7671" w:rsidRDefault="00D9754C" w:rsidP="009F767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bCs/>
          <w:sz w:val="32"/>
          <w:szCs w:val="32"/>
        </w:rPr>
      </w:pPr>
      <w:r w:rsidRPr="009F7671">
        <w:rPr>
          <w:rFonts w:asciiTheme="minorHAnsi" w:hAnsiTheme="minorHAnsi" w:cstheme="minorHAnsi"/>
          <w:b/>
          <w:bCs/>
          <w:sz w:val="32"/>
          <w:szCs w:val="32"/>
        </w:rPr>
        <w:t>G</w:t>
      </w:r>
      <w:r w:rsidR="009F7671" w:rsidRPr="009F7671">
        <w:rPr>
          <w:rFonts w:asciiTheme="minorHAnsi" w:hAnsiTheme="minorHAnsi" w:cstheme="minorHAnsi"/>
          <w:b/>
          <w:bCs/>
          <w:sz w:val="32"/>
          <w:szCs w:val="32"/>
        </w:rPr>
        <w:t>ARDE CHAMPETRE PARTICULIER</w:t>
      </w:r>
    </w:p>
    <w:p w14:paraId="2B96686D" w14:textId="77777777" w:rsidR="009F7671" w:rsidRPr="00BA4542" w:rsidRDefault="009F7671" w:rsidP="009F767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bCs/>
          <w:sz w:val="20"/>
          <w:szCs w:val="20"/>
        </w:rPr>
      </w:pPr>
    </w:p>
    <w:p w14:paraId="65C108EC" w14:textId="77777777" w:rsidR="00587620" w:rsidRPr="008A4274" w:rsidRDefault="00587620" w:rsidP="00A36FCD">
      <w:pPr>
        <w:pStyle w:val="NormalWeb"/>
        <w:spacing w:before="0" w:beforeAutospacing="0" w:after="0" w:afterAutospacing="0"/>
        <w:jc w:val="both"/>
        <w:rPr>
          <w:rStyle w:val="pchapitre"/>
          <w:rFonts w:asciiTheme="minorHAnsi" w:hAnsiTheme="minorHAnsi" w:cstheme="minorHAnsi"/>
          <w:b/>
          <w:bCs/>
          <w:sz w:val="20"/>
          <w:szCs w:val="20"/>
          <w:u w:val="single"/>
        </w:rPr>
      </w:pPr>
    </w:p>
    <w:p w14:paraId="2DC11348" w14:textId="77777777" w:rsidR="00753F79" w:rsidRDefault="00753F79" w:rsidP="00A36FCD">
      <w:pPr>
        <w:jc w:val="both"/>
        <w:rPr>
          <w:rFonts w:eastAsia="Times New Roman" w:cstheme="minorHAnsi"/>
          <w:b/>
          <w:bCs/>
          <w:sz w:val="24"/>
          <w:szCs w:val="24"/>
          <w:u w:val="single"/>
          <w:lang w:eastAsia="fr-BE"/>
        </w:rPr>
      </w:pPr>
    </w:p>
    <w:p w14:paraId="5FD1CB73" w14:textId="0D771DDB" w:rsidR="00D9754C" w:rsidRPr="00587620" w:rsidRDefault="00D9754C" w:rsidP="00A36FCD">
      <w:pPr>
        <w:jc w:val="both"/>
        <w:rPr>
          <w:rFonts w:eastAsia="Times New Roman" w:cstheme="minorHAnsi"/>
          <w:b/>
          <w:bCs/>
          <w:sz w:val="24"/>
          <w:szCs w:val="24"/>
          <w:u w:val="single"/>
          <w:lang w:eastAsia="fr-BE"/>
        </w:rPr>
      </w:pPr>
      <w:r w:rsidRPr="00587620">
        <w:rPr>
          <w:rFonts w:eastAsia="Times New Roman" w:cstheme="minorHAnsi"/>
          <w:b/>
          <w:bCs/>
          <w:sz w:val="24"/>
          <w:szCs w:val="24"/>
          <w:u w:val="single"/>
          <w:lang w:eastAsia="fr-BE"/>
        </w:rPr>
        <w:t>ARRÊTE ROYAL DU 10/09/2017 REGLEMENTANT LE STATUT DES GARDES CHAMPETRES PARTICULIERS, PARU AU MONITEUR BELGE LE 10/10/2017.</w:t>
      </w:r>
    </w:p>
    <w:p w14:paraId="69413F78" w14:textId="77777777" w:rsidR="00F85E8F" w:rsidRDefault="00F85E8F" w:rsidP="00A36FCD">
      <w:pPr>
        <w:pStyle w:val="NormalWeb"/>
        <w:spacing w:before="0" w:beforeAutospacing="0" w:after="0" w:afterAutospacing="0"/>
        <w:jc w:val="both"/>
        <w:rPr>
          <w:rStyle w:val="pchapitre"/>
          <w:rFonts w:asciiTheme="minorHAnsi" w:hAnsiTheme="minorHAnsi" w:cstheme="minorHAnsi"/>
          <w:b/>
          <w:highlight w:val="yellow"/>
          <w:u w:val="single"/>
        </w:rPr>
      </w:pPr>
      <w:bookmarkStart w:id="0" w:name="_Hlk36490685"/>
    </w:p>
    <w:p w14:paraId="5476FFC3" w14:textId="1AA5E4A5" w:rsidR="00D9754C" w:rsidRPr="00F85E8F" w:rsidRDefault="00D9754C" w:rsidP="00A36FCD">
      <w:pPr>
        <w:pStyle w:val="NormalWeb"/>
        <w:spacing w:before="0" w:beforeAutospacing="0" w:after="0" w:afterAutospacing="0"/>
        <w:jc w:val="both"/>
        <w:rPr>
          <w:rStyle w:val="pchapitre"/>
          <w:rFonts w:asciiTheme="minorHAnsi" w:hAnsiTheme="minorHAnsi" w:cstheme="minorHAnsi"/>
          <w:b/>
          <w:sz w:val="26"/>
          <w:szCs w:val="26"/>
          <w:u w:val="single"/>
        </w:rPr>
      </w:pPr>
      <w:r w:rsidRPr="00A10169">
        <w:rPr>
          <w:rStyle w:val="pchapitre"/>
          <w:rFonts w:asciiTheme="minorHAnsi" w:hAnsiTheme="minorHAnsi" w:cstheme="minorHAnsi"/>
          <w:b/>
          <w:sz w:val="26"/>
          <w:szCs w:val="26"/>
          <w:u w:val="single"/>
        </w:rPr>
        <w:t>AGREATION :</w:t>
      </w:r>
    </w:p>
    <w:p w14:paraId="5DB3A864" w14:textId="77777777" w:rsidR="00587620" w:rsidRPr="00BA4542" w:rsidRDefault="00587620" w:rsidP="00A36FCD">
      <w:pPr>
        <w:pStyle w:val="NormalWeb"/>
        <w:spacing w:before="0" w:beforeAutospacing="0" w:after="0" w:afterAutospacing="0"/>
        <w:jc w:val="both"/>
        <w:rPr>
          <w:rStyle w:val="pchapitre"/>
          <w:rFonts w:asciiTheme="minorHAnsi" w:hAnsiTheme="minorHAnsi" w:cstheme="minorHAnsi"/>
          <w:b/>
          <w:sz w:val="20"/>
          <w:szCs w:val="20"/>
          <w:u w:val="single"/>
        </w:rPr>
      </w:pPr>
    </w:p>
    <w:bookmarkEnd w:id="0"/>
    <w:p w14:paraId="441AE37D" w14:textId="1C9547B8" w:rsidR="006420E0" w:rsidRDefault="006420E0" w:rsidP="00A36FCD">
      <w:pPr>
        <w:pStyle w:val="NormalWeb"/>
        <w:spacing w:before="0" w:beforeAutospacing="0" w:after="0" w:afterAutospacing="0"/>
        <w:jc w:val="both"/>
        <w:rPr>
          <w:rFonts w:asciiTheme="minorHAnsi" w:hAnsiTheme="minorHAnsi" w:cstheme="minorHAnsi"/>
          <w:b/>
          <w:bCs/>
          <w:sz w:val="26"/>
          <w:szCs w:val="26"/>
        </w:rPr>
      </w:pPr>
      <w:r w:rsidRPr="00F85E8F">
        <w:rPr>
          <w:rStyle w:val="pchapitre"/>
          <w:rFonts w:asciiTheme="minorHAnsi" w:hAnsiTheme="minorHAnsi" w:cstheme="minorHAnsi"/>
          <w:b/>
          <w:sz w:val="26"/>
          <w:szCs w:val="26"/>
          <w:u w:val="single"/>
        </w:rPr>
        <w:t xml:space="preserve">Les conditions d'agrément </w:t>
      </w:r>
      <w:r w:rsidR="0068182B" w:rsidRPr="00F85E8F">
        <w:rPr>
          <w:rStyle w:val="pchapitre"/>
          <w:rFonts w:asciiTheme="minorHAnsi" w:hAnsiTheme="minorHAnsi" w:cstheme="minorHAnsi"/>
          <w:b/>
          <w:sz w:val="26"/>
          <w:szCs w:val="26"/>
          <w:u w:val="single"/>
        </w:rPr>
        <w:t>–</w:t>
      </w:r>
      <w:r w:rsidR="00753F79" w:rsidRPr="00753F79">
        <w:rPr>
          <w:rStyle w:val="pchapitre"/>
          <w:rFonts w:asciiTheme="minorHAnsi" w:hAnsiTheme="minorHAnsi" w:cstheme="minorHAnsi"/>
          <w:b/>
          <w:sz w:val="26"/>
          <w:szCs w:val="26"/>
          <w:u w:val="single"/>
        </w:rPr>
        <w:t xml:space="preserve"> </w:t>
      </w:r>
      <w:r w:rsidR="00753F79" w:rsidRPr="00F85E8F">
        <w:rPr>
          <w:rStyle w:val="pchapitre"/>
          <w:rFonts w:asciiTheme="minorHAnsi" w:hAnsiTheme="minorHAnsi" w:cstheme="minorHAnsi"/>
          <w:b/>
          <w:sz w:val="26"/>
          <w:szCs w:val="26"/>
          <w:u w:val="single"/>
        </w:rPr>
        <w:t xml:space="preserve">CHAP III - </w:t>
      </w:r>
      <w:r w:rsidR="0068182B" w:rsidRPr="00F85E8F">
        <w:rPr>
          <w:rStyle w:val="particle"/>
          <w:rFonts w:asciiTheme="minorHAnsi" w:hAnsiTheme="minorHAnsi" w:cstheme="minorHAnsi"/>
          <w:b/>
          <w:bCs/>
          <w:sz w:val="26"/>
          <w:szCs w:val="26"/>
          <w:u w:val="single"/>
        </w:rPr>
        <w:t xml:space="preserve">article </w:t>
      </w:r>
      <w:r w:rsidRPr="00F85E8F">
        <w:rPr>
          <w:rStyle w:val="particle"/>
          <w:rFonts w:asciiTheme="minorHAnsi" w:hAnsiTheme="minorHAnsi" w:cstheme="minorHAnsi"/>
          <w:b/>
          <w:bCs/>
          <w:sz w:val="26"/>
          <w:szCs w:val="26"/>
          <w:u w:val="single"/>
        </w:rPr>
        <w:t>3</w:t>
      </w:r>
      <w:r w:rsidR="00311531">
        <w:rPr>
          <w:rStyle w:val="particle"/>
          <w:rFonts w:asciiTheme="minorHAnsi" w:hAnsiTheme="minorHAnsi" w:cstheme="minorHAnsi"/>
          <w:b/>
          <w:bCs/>
          <w:sz w:val="26"/>
          <w:szCs w:val="26"/>
          <w:u w:val="single"/>
        </w:rPr>
        <w:t xml:space="preserve"> - </w:t>
      </w:r>
      <w:r w:rsidRPr="00F85E8F">
        <w:rPr>
          <w:rFonts w:asciiTheme="minorHAnsi" w:hAnsiTheme="minorHAnsi" w:cstheme="minorHAnsi"/>
          <w:b/>
          <w:bCs/>
          <w:sz w:val="26"/>
          <w:szCs w:val="26"/>
          <w:u w:val="single"/>
        </w:rPr>
        <w:t>Le candidat doit satisfaire aux</w:t>
      </w:r>
      <w:r w:rsidR="00F05B15" w:rsidRPr="00F85E8F">
        <w:rPr>
          <w:rFonts w:asciiTheme="minorHAnsi" w:hAnsiTheme="minorHAnsi" w:cstheme="minorHAnsi"/>
          <w:b/>
          <w:bCs/>
          <w:sz w:val="26"/>
          <w:szCs w:val="26"/>
          <w:u w:val="single"/>
        </w:rPr>
        <w:t xml:space="preserve"> </w:t>
      </w:r>
      <w:r w:rsidRPr="00F85E8F">
        <w:rPr>
          <w:rFonts w:asciiTheme="minorHAnsi" w:hAnsiTheme="minorHAnsi" w:cstheme="minorHAnsi"/>
          <w:b/>
          <w:bCs/>
          <w:sz w:val="26"/>
          <w:szCs w:val="26"/>
          <w:u w:val="single"/>
        </w:rPr>
        <w:t>conditions d'agrément suivantes</w:t>
      </w:r>
      <w:r w:rsidRPr="00F85E8F">
        <w:rPr>
          <w:rFonts w:asciiTheme="minorHAnsi" w:hAnsiTheme="minorHAnsi" w:cstheme="minorHAnsi"/>
          <w:b/>
          <w:bCs/>
          <w:sz w:val="26"/>
          <w:szCs w:val="26"/>
        </w:rPr>
        <w:t xml:space="preserve"> : </w:t>
      </w:r>
    </w:p>
    <w:p w14:paraId="08AFC1A1" w14:textId="77777777" w:rsidR="00F85E8F" w:rsidRPr="00F85E8F" w:rsidRDefault="00F85E8F" w:rsidP="00A36FCD">
      <w:pPr>
        <w:pStyle w:val="NormalWeb"/>
        <w:spacing w:before="0" w:beforeAutospacing="0" w:after="0" w:afterAutospacing="0"/>
        <w:jc w:val="both"/>
        <w:rPr>
          <w:rFonts w:asciiTheme="minorHAnsi" w:hAnsiTheme="minorHAnsi" w:cstheme="minorHAnsi"/>
          <w:b/>
          <w:sz w:val="20"/>
          <w:szCs w:val="20"/>
          <w:u w:val="single"/>
        </w:rPr>
      </w:pPr>
    </w:p>
    <w:p w14:paraId="56960A26" w14:textId="76E1BD21"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rPr>
        <w:t xml:space="preserve">Bénéficier d'une </w:t>
      </w:r>
      <w:r w:rsidRPr="002F1A70">
        <w:rPr>
          <w:rStyle w:val="plist"/>
          <w:rFonts w:asciiTheme="minorHAnsi" w:hAnsiTheme="minorHAnsi" w:cstheme="minorHAnsi"/>
          <w:b/>
        </w:rPr>
        <w:t>désignation visée à l'article 61 du Code rural</w:t>
      </w:r>
      <w:r w:rsidR="00A54C43">
        <w:rPr>
          <w:rStyle w:val="plist"/>
          <w:rFonts w:asciiTheme="minorHAnsi" w:hAnsiTheme="minorHAnsi" w:cstheme="minorHAnsi"/>
          <w:b/>
        </w:rPr>
        <w:t xml:space="preserve"> </w:t>
      </w:r>
      <w:r w:rsidRPr="002F1A70">
        <w:rPr>
          <w:rStyle w:val="plist"/>
          <w:rFonts w:asciiTheme="minorHAnsi" w:hAnsiTheme="minorHAnsi" w:cstheme="minorHAnsi"/>
          <w:b/>
        </w:rPr>
        <w:t>;</w:t>
      </w:r>
    </w:p>
    <w:p w14:paraId="5510488B" w14:textId="4D2188AF"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proofErr w:type="spellStart"/>
      <w:r w:rsidRPr="002F1A70">
        <w:rPr>
          <w:rStyle w:val="plist"/>
          <w:rFonts w:asciiTheme="minorHAnsi" w:hAnsiTheme="minorHAnsi" w:cstheme="minorHAnsi"/>
        </w:rPr>
        <w:t>Etre</w:t>
      </w:r>
      <w:proofErr w:type="spellEnd"/>
      <w:r w:rsidRPr="002F1A70">
        <w:rPr>
          <w:rStyle w:val="plist"/>
          <w:rFonts w:asciiTheme="minorHAnsi" w:hAnsiTheme="minorHAnsi" w:cstheme="minorHAnsi"/>
        </w:rPr>
        <w:t xml:space="preserve"> </w:t>
      </w:r>
      <w:r w:rsidRPr="002F1A70">
        <w:rPr>
          <w:rStyle w:val="plist"/>
          <w:rFonts w:asciiTheme="minorHAnsi" w:hAnsiTheme="minorHAnsi" w:cstheme="minorHAnsi"/>
          <w:b/>
        </w:rPr>
        <w:t>citoyen d'un Etat membre de l'Union européenne</w:t>
      </w:r>
      <w:r w:rsidR="00A54C43">
        <w:rPr>
          <w:rStyle w:val="plist"/>
          <w:rFonts w:asciiTheme="minorHAnsi" w:hAnsiTheme="minorHAnsi" w:cstheme="minorHAnsi"/>
          <w:b/>
        </w:rPr>
        <w:t xml:space="preserve"> </w:t>
      </w:r>
      <w:r w:rsidRPr="002F1A70">
        <w:rPr>
          <w:rStyle w:val="plist"/>
          <w:rFonts w:asciiTheme="minorHAnsi" w:hAnsiTheme="minorHAnsi" w:cstheme="minorHAnsi"/>
        </w:rPr>
        <w:t>;</w:t>
      </w:r>
    </w:p>
    <w:p w14:paraId="6CBBD62F" w14:textId="1A85786B"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rPr>
        <w:t xml:space="preserve">Avoir atteint </w:t>
      </w:r>
      <w:r w:rsidRPr="002F1A70">
        <w:rPr>
          <w:rStyle w:val="plist"/>
          <w:rFonts w:asciiTheme="minorHAnsi" w:hAnsiTheme="minorHAnsi" w:cstheme="minorHAnsi"/>
          <w:b/>
        </w:rPr>
        <w:t>l'âge de 18 ans</w:t>
      </w:r>
      <w:r w:rsidRPr="002F1A70">
        <w:rPr>
          <w:rStyle w:val="plist"/>
          <w:rFonts w:asciiTheme="minorHAnsi" w:hAnsiTheme="minorHAnsi" w:cstheme="minorHAnsi"/>
        </w:rPr>
        <w:t xml:space="preserve"> accomplis le jour de l'agrément</w:t>
      </w:r>
      <w:r w:rsidR="00A54C43">
        <w:rPr>
          <w:rStyle w:val="plist"/>
          <w:rFonts w:asciiTheme="minorHAnsi" w:hAnsiTheme="minorHAnsi" w:cstheme="minorHAnsi"/>
        </w:rPr>
        <w:t xml:space="preserve"> </w:t>
      </w:r>
      <w:r w:rsidRPr="002F1A70">
        <w:rPr>
          <w:rStyle w:val="plist"/>
          <w:rFonts w:asciiTheme="minorHAnsi" w:hAnsiTheme="minorHAnsi" w:cstheme="minorHAnsi"/>
        </w:rPr>
        <w:t>;</w:t>
      </w:r>
    </w:p>
    <w:p w14:paraId="7D14B32B" w14:textId="0D69685B" w:rsidR="006420E0" w:rsidRPr="002F1A70" w:rsidRDefault="006420E0" w:rsidP="00A36FCD">
      <w:pPr>
        <w:pStyle w:val="NormalWeb"/>
        <w:numPr>
          <w:ilvl w:val="0"/>
          <w:numId w:val="2"/>
        </w:numPr>
        <w:spacing w:before="0" w:beforeAutospacing="0" w:after="0" w:afterAutospacing="0"/>
        <w:jc w:val="both"/>
        <w:rPr>
          <w:rFonts w:asciiTheme="minorHAnsi" w:hAnsiTheme="minorHAnsi" w:cstheme="minorHAnsi"/>
        </w:rPr>
      </w:pPr>
      <w:r w:rsidRPr="002F1A70">
        <w:rPr>
          <w:rStyle w:val="plist"/>
          <w:rFonts w:asciiTheme="minorHAnsi" w:hAnsiTheme="minorHAnsi" w:cstheme="minorHAnsi"/>
          <w:b/>
        </w:rPr>
        <w:t>Ne pas avoir été condamné, même avec sursis, à une quelconque peine correctionnelle ou criminelle</w:t>
      </w:r>
      <w:r w:rsidRPr="002F1A70">
        <w:rPr>
          <w:rStyle w:val="plist"/>
          <w:rFonts w:asciiTheme="minorHAnsi" w:hAnsiTheme="minorHAnsi" w:cstheme="minorHAnsi"/>
        </w:rPr>
        <w:t xml:space="preserve"> consistant en une amende, une peine de travail ou une peine de prison, à l'exception des condamnations pour infraction à la réglementation relative à la police de la circulation routière.</w:t>
      </w:r>
      <w:r w:rsidRPr="002F1A70">
        <w:rPr>
          <w:rFonts w:asciiTheme="minorHAnsi" w:hAnsiTheme="minorHAnsi" w:cstheme="minorHAnsi"/>
        </w:rPr>
        <w:t xml:space="preserve"> Un garde champêtre particulier qui a été condamné à l'étranger à une peine de même nature par un jugement coulé en force de chose jugée, est réputé ne pas satisfaire à la condition fixée ci-dessus</w:t>
      </w:r>
      <w:r w:rsidR="00A54C43">
        <w:rPr>
          <w:rFonts w:asciiTheme="minorHAnsi" w:hAnsiTheme="minorHAnsi" w:cstheme="minorHAnsi"/>
        </w:rPr>
        <w:t xml:space="preserve"> </w:t>
      </w:r>
      <w:r w:rsidRPr="002F1A70">
        <w:rPr>
          <w:rFonts w:asciiTheme="minorHAnsi" w:hAnsiTheme="minorHAnsi" w:cstheme="minorHAnsi"/>
        </w:rPr>
        <w:t>;</w:t>
      </w:r>
    </w:p>
    <w:p w14:paraId="1E2A809E" w14:textId="1FD5297A"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b/>
        </w:rPr>
        <w:t>Ne pas exercer de mandat politique</w:t>
      </w:r>
      <w:r w:rsidR="00A54C43">
        <w:rPr>
          <w:rStyle w:val="plist"/>
          <w:rFonts w:asciiTheme="minorHAnsi" w:hAnsiTheme="minorHAnsi" w:cstheme="minorHAnsi"/>
          <w:b/>
        </w:rPr>
        <w:t xml:space="preserve"> </w:t>
      </w:r>
      <w:r w:rsidRPr="002F1A70">
        <w:rPr>
          <w:rStyle w:val="plist"/>
          <w:rFonts w:asciiTheme="minorHAnsi" w:hAnsiTheme="minorHAnsi" w:cstheme="minorHAnsi"/>
        </w:rPr>
        <w:t>;</w:t>
      </w:r>
    </w:p>
    <w:p w14:paraId="5F94FAF3" w14:textId="4FA4EC8F"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b/>
        </w:rPr>
        <w:t xml:space="preserve">Ne pas être membre d'un service de police </w:t>
      </w:r>
      <w:r w:rsidRPr="002F1A70">
        <w:rPr>
          <w:rStyle w:val="plist"/>
          <w:rFonts w:asciiTheme="minorHAnsi" w:hAnsiTheme="minorHAnsi" w:cstheme="minorHAnsi"/>
        </w:rPr>
        <w:t>au sens de la loi du 7 décembre 1998 organisant un service de police intégré, structuré à deux niveaux ou d'un service public de renseignements tel que défini par la loi du 18 juillet 1991 organique du contrôle des services de police et de renseignements</w:t>
      </w:r>
      <w:r w:rsidR="00A54C43">
        <w:rPr>
          <w:rStyle w:val="plist"/>
          <w:rFonts w:asciiTheme="minorHAnsi" w:hAnsiTheme="minorHAnsi" w:cstheme="minorHAnsi"/>
        </w:rPr>
        <w:t xml:space="preserve"> </w:t>
      </w:r>
      <w:r w:rsidRPr="002F1A70">
        <w:rPr>
          <w:rStyle w:val="plist"/>
          <w:rFonts w:asciiTheme="minorHAnsi" w:hAnsiTheme="minorHAnsi" w:cstheme="minorHAnsi"/>
        </w:rPr>
        <w:t>;</w:t>
      </w:r>
    </w:p>
    <w:p w14:paraId="716C160A" w14:textId="05140F7B"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b/>
        </w:rPr>
        <w:t>Ne pas exercer la fonction de détective privé,</w:t>
      </w:r>
      <w:r w:rsidRPr="002F1A70">
        <w:rPr>
          <w:rStyle w:val="plist"/>
          <w:rFonts w:asciiTheme="minorHAnsi" w:hAnsiTheme="minorHAnsi" w:cstheme="minorHAnsi"/>
        </w:rPr>
        <w:t xml:space="preserve"> telle que définie dans la loi du 19 juillet 1991 organisant la profession de détective privé</w:t>
      </w:r>
      <w:r w:rsidR="00A54C43">
        <w:rPr>
          <w:rStyle w:val="plist"/>
          <w:rFonts w:asciiTheme="minorHAnsi" w:hAnsiTheme="minorHAnsi" w:cstheme="minorHAnsi"/>
        </w:rPr>
        <w:t xml:space="preserve"> </w:t>
      </w:r>
      <w:r w:rsidRPr="002F1A70">
        <w:rPr>
          <w:rStyle w:val="plist"/>
          <w:rFonts w:asciiTheme="minorHAnsi" w:hAnsiTheme="minorHAnsi" w:cstheme="minorHAnsi"/>
        </w:rPr>
        <w:t>;</w:t>
      </w:r>
    </w:p>
    <w:p w14:paraId="5A966EB3" w14:textId="6DA299E1"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b/>
        </w:rPr>
        <w:t>Ne pas être membre d'une entreprise de gardiennage</w:t>
      </w:r>
      <w:r w:rsidRPr="002F1A70">
        <w:rPr>
          <w:rStyle w:val="plist"/>
          <w:rFonts w:asciiTheme="minorHAnsi" w:hAnsiTheme="minorHAnsi" w:cstheme="minorHAnsi"/>
        </w:rPr>
        <w:t>, d'un service interne de gardiennage ou d'un service de sécurité, au sens de loi du 10 avril 1990 réglementant la sécurité privée et particulière</w:t>
      </w:r>
      <w:r w:rsidR="00A54C43">
        <w:rPr>
          <w:rStyle w:val="plist"/>
          <w:rFonts w:asciiTheme="minorHAnsi" w:hAnsiTheme="minorHAnsi" w:cstheme="minorHAnsi"/>
        </w:rPr>
        <w:t xml:space="preserve"> </w:t>
      </w:r>
      <w:r w:rsidRPr="002F1A70">
        <w:rPr>
          <w:rStyle w:val="plist"/>
          <w:rFonts w:asciiTheme="minorHAnsi" w:hAnsiTheme="minorHAnsi" w:cstheme="minorHAnsi"/>
        </w:rPr>
        <w:t>;</w:t>
      </w:r>
    </w:p>
    <w:p w14:paraId="5821A69D" w14:textId="11F62F6C"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b/>
        </w:rPr>
        <w:t>Ne pas exercer de fonction en tant que garde au sein de l'administration forestière</w:t>
      </w:r>
      <w:r w:rsidRPr="002F1A70">
        <w:rPr>
          <w:rStyle w:val="plist"/>
          <w:rFonts w:asciiTheme="minorHAnsi" w:hAnsiTheme="minorHAnsi" w:cstheme="minorHAnsi"/>
        </w:rPr>
        <w:t>, au sens des réglementations régionales</w:t>
      </w:r>
      <w:r w:rsidR="00A54C43">
        <w:rPr>
          <w:rStyle w:val="plist"/>
          <w:rFonts w:asciiTheme="minorHAnsi" w:hAnsiTheme="minorHAnsi" w:cstheme="minorHAnsi"/>
        </w:rPr>
        <w:t xml:space="preserve"> </w:t>
      </w:r>
      <w:r w:rsidRPr="002F1A70">
        <w:rPr>
          <w:rStyle w:val="plist"/>
          <w:rFonts w:asciiTheme="minorHAnsi" w:hAnsiTheme="minorHAnsi" w:cstheme="minorHAnsi"/>
        </w:rPr>
        <w:t>;</w:t>
      </w:r>
    </w:p>
    <w:p w14:paraId="1E01A9DB" w14:textId="2C85FE41"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b/>
        </w:rPr>
        <w:t>Ne pas pratiquer la chasse ou la pêche</w:t>
      </w:r>
      <w:r w:rsidRPr="002F1A70">
        <w:rPr>
          <w:rStyle w:val="plist"/>
          <w:rFonts w:asciiTheme="minorHAnsi" w:hAnsiTheme="minorHAnsi" w:cstheme="minorHAnsi"/>
        </w:rPr>
        <w:t>, ni être (</w:t>
      </w:r>
      <w:proofErr w:type="spellStart"/>
      <w:r w:rsidRPr="002F1A70">
        <w:rPr>
          <w:rStyle w:val="plist"/>
          <w:rFonts w:asciiTheme="minorHAnsi" w:hAnsiTheme="minorHAnsi" w:cstheme="minorHAnsi"/>
        </w:rPr>
        <w:t>co</w:t>
      </w:r>
      <w:proofErr w:type="spellEnd"/>
      <w:r w:rsidRPr="002F1A70">
        <w:rPr>
          <w:rStyle w:val="plist"/>
          <w:rFonts w:asciiTheme="minorHAnsi" w:hAnsiTheme="minorHAnsi" w:cstheme="minorHAnsi"/>
        </w:rPr>
        <w:t>)détenteur du droit de chasse ou de pêche sur le territoire pour lequel il souhaite être commissionné et ne pas être parent ou allié jusqu'au troisième degré du commettant ou des détenteurs du droit de chasse ou de pêche qui chassent ou pêchent sur ce territoire</w:t>
      </w:r>
      <w:r w:rsidR="00A54C43">
        <w:rPr>
          <w:rStyle w:val="plist"/>
          <w:rFonts w:asciiTheme="minorHAnsi" w:hAnsiTheme="minorHAnsi" w:cstheme="minorHAnsi"/>
        </w:rPr>
        <w:t xml:space="preserve"> </w:t>
      </w:r>
      <w:r w:rsidRPr="002F1A70">
        <w:rPr>
          <w:rStyle w:val="plist"/>
          <w:rFonts w:asciiTheme="minorHAnsi" w:hAnsiTheme="minorHAnsi" w:cstheme="minorHAnsi"/>
        </w:rPr>
        <w:t>;</w:t>
      </w:r>
    </w:p>
    <w:p w14:paraId="40DE01B6" w14:textId="61BEEF45"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b/>
        </w:rPr>
        <w:t>Ne pas exercer des activités de fabricant ou de marchand d'armes ou de munitions</w:t>
      </w:r>
      <w:r w:rsidRPr="002F1A70">
        <w:rPr>
          <w:rStyle w:val="plist"/>
          <w:rFonts w:asciiTheme="minorHAnsi" w:hAnsiTheme="minorHAnsi" w:cstheme="minorHAnsi"/>
        </w:rPr>
        <w:t xml:space="preserve"> ou toute autre activité qui, par le fait qu'elle est exercée par cette même personne, peut constituer un danger pour l'ordre public ou la sécurité intérieure ou extérieure de l'Etat</w:t>
      </w:r>
      <w:r w:rsidR="00A54C43">
        <w:rPr>
          <w:rStyle w:val="plist"/>
          <w:rFonts w:asciiTheme="minorHAnsi" w:hAnsiTheme="minorHAnsi" w:cstheme="minorHAnsi"/>
        </w:rPr>
        <w:t xml:space="preserve"> </w:t>
      </w:r>
      <w:r w:rsidRPr="002F1A70">
        <w:rPr>
          <w:rStyle w:val="plist"/>
          <w:rFonts w:asciiTheme="minorHAnsi" w:hAnsiTheme="minorHAnsi" w:cstheme="minorHAnsi"/>
        </w:rPr>
        <w:t>;</w:t>
      </w:r>
    </w:p>
    <w:p w14:paraId="1FF48414" w14:textId="74EE0A59" w:rsidR="006420E0" w:rsidRPr="002F1A70" w:rsidRDefault="006420E0" w:rsidP="00A36FCD">
      <w:pPr>
        <w:pStyle w:val="NormalWeb"/>
        <w:numPr>
          <w:ilvl w:val="0"/>
          <w:numId w:val="2"/>
        </w:numPr>
        <w:spacing w:before="0" w:beforeAutospacing="0" w:after="0" w:afterAutospacing="0"/>
        <w:jc w:val="both"/>
        <w:rPr>
          <w:rStyle w:val="plist"/>
          <w:rFonts w:asciiTheme="minorHAnsi" w:hAnsiTheme="minorHAnsi" w:cstheme="minorHAnsi"/>
        </w:rPr>
      </w:pPr>
      <w:r w:rsidRPr="002F1A70">
        <w:rPr>
          <w:rStyle w:val="plist"/>
          <w:rFonts w:asciiTheme="minorHAnsi" w:hAnsiTheme="minorHAnsi" w:cstheme="minorHAnsi"/>
          <w:b/>
        </w:rPr>
        <w:t>Ne pas avoir fait l'objet d'une décision de limitation, de suspension ou de retrait du droit de détenir une arme</w:t>
      </w:r>
      <w:r w:rsidRPr="002F1A70">
        <w:rPr>
          <w:rStyle w:val="plist"/>
          <w:rFonts w:asciiTheme="minorHAnsi" w:hAnsiTheme="minorHAnsi" w:cstheme="minorHAnsi"/>
        </w:rPr>
        <w:t xml:space="preserve"> prise en application de l'article 13 de la loi de 8 juin 2006 réglant des activités économiques et individuelles avec des armes (Loi sur les armes) au cours des trois dernières années</w:t>
      </w:r>
      <w:r w:rsidR="00A54C43">
        <w:rPr>
          <w:rStyle w:val="plist"/>
          <w:rFonts w:asciiTheme="minorHAnsi" w:hAnsiTheme="minorHAnsi" w:cstheme="minorHAnsi"/>
        </w:rPr>
        <w:t xml:space="preserve"> </w:t>
      </w:r>
      <w:r w:rsidRPr="002F1A70">
        <w:rPr>
          <w:rStyle w:val="plist"/>
          <w:rFonts w:asciiTheme="minorHAnsi" w:hAnsiTheme="minorHAnsi" w:cstheme="minorHAnsi"/>
        </w:rPr>
        <w:t>;</w:t>
      </w:r>
    </w:p>
    <w:p w14:paraId="027BA865" w14:textId="292F275E" w:rsidR="006420E0" w:rsidRDefault="006420E0" w:rsidP="00A36FCD">
      <w:pPr>
        <w:pStyle w:val="NormalWeb"/>
        <w:numPr>
          <w:ilvl w:val="0"/>
          <w:numId w:val="2"/>
        </w:numPr>
        <w:spacing w:before="0" w:beforeAutospacing="0" w:after="0" w:afterAutospacing="0"/>
        <w:jc w:val="both"/>
        <w:rPr>
          <w:rFonts w:asciiTheme="minorHAnsi" w:hAnsiTheme="minorHAnsi" w:cstheme="minorHAnsi"/>
        </w:rPr>
      </w:pPr>
      <w:r w:rsidRPr="002F1A70">
        <w:rPr>
          <w:rStyle w:val="plist"/>
          <w:rFonts w:asciiTheme="minorHAnsi" w:hAnsiTheme="minorHAnsi" w:cstheme="minorHAnsi"/>
          <w:b/>
        </w:rPr>
        <w:t xml:space="preserve">Avoir réussi le test de compétences </w:t>
      </w:r>
      <w:r w:rsidRPr="002F1A70">
        <w:rPr>
          <w:rStyle w:val="plist"/>
          <w:rFonts w:asciiTheme="minorHAnsi" w:hAnsiTheme="minorHAnsi" w:cstheme="minorHAnsi"/>
        </w:rPr>
        <w:t>de la formation de base ou l’examen en cours de recyclage (certificat de réussite fourni après les examens</w:t>
      </w:r>
      <w:r w:rsidRPr="002F1A70">
        <w:rPr>
          <w:rFonts w:asciiTheme="minorHAnsi" w:hAnsiTheme="minorHAnsi" w:cstheme="minorHAnsi"/>
        </w:rPr>
        <w:t xml:space="preserve">.). </w:t>
      </w:r>
    </w:p>
    <w:p w14:paraId="04932977" w14:textId="77777777" w:rsidR="00753F79" w:rsidRDefault="00753F79" w:rsidP="00F85E8F">
      <w:pPr>
        <w:jc w:val="both"/>
        <w:rPr>
          <w:b/>
          <w:sz w:val="26"/>
          <w:szCs w:val="26"/>
          <w:u w:val="single"/>
        </w:rPr>
      </w:pPr>
    </w:p>
    <w:p w14:paraId="51AFA562" w14:textId="77777777" w:rsidR="00753F79" w:rsidRDefault="00753F79" w:rsidP="00F85E8F">
      <w:pPr>
        <w:jc w:val="both"/>
        <w:rPr>
          <w:b/>
          <w:sz w:val="26"/>
          <w:szCs w:val="26"/>
          <w:u w:val="single"/>
        </w:rPr>
      </w:pPr>
    </w:p>
    <w:p w14:paraId="7406000A" w14:textId="77777777" w:rsidR="00753F79" w:rsidRDefault="00753F79" w:rsidP="00F85E8F">
      <w:pPr>
        <w:jc w:val="both"/>
        <w:rPr>
          <w:b/>
          <w:sz w:val="26"/>
          <w:szCs w:val="26"/>
          <w:u w:val="single"/>
        </w:rPr>
      </w:pPr>
    </w:p>
    <w:p w14:paraId="1D4EA313" w14:textId="77777777" w:rsidR="00753F79" w:rsidRDefault="00753F79" w:rsidP="00F85E8F">
      <w:pPr>
        <w:jc w:val="both"/>
        <w:rPr>
          <w:b/>
          <w:sz w:val="26"/>
          <w:szCs w:val="26"/>
          <w:u w:val="single"/>
        </w:rPr>
      </w:pPr>
    </w:p>
    <w:p w14:paraId="46A96A13" w14:textId="6CD2D4AF" w:rsidR="00F85E8F" w:rsidRPr="00F85E8F" w:rsidRDefault="00F85E8F" w:rsidP="00F85E8F">
      <w:pPr>
        <w:jc w:val="both"/>
        <w:rPr>
          <w:b/>
          <w:sz w:val="26"/>
          <w:szCs w:val="26"/>
          <w:u w:val="single"/>
        </w:rPr>
      </w:pPr>
      <w:r w:rsidRPr="00F85E8F">
        <w:rPr>
          <w:b/>
          <w:sz w:val="26"/>
          <w:szCs w:val="26"/>
          <w:u w:val="single"/>
        </w:rPr>
        <w:lastRenderedPageBreak/>
        <w:t>L’agrément du GCP</w:t>
      </w:r>
      <w:r>
        <w:rPr>
          <w:b/>
          <w:sz w:val="26"/>
          <w:szCs w:val="26"/>
          <w:u w:val="single"/>
        </w:rPr>
        <w:t> :</w:t>
      </w:r>
    </w:p>
    <w:p w14:paraId="62A0282D" w14:textId="77777777" w:rsidR="00F85E8F" w:rsidRPr="00F85E8F" w:rsidRDefault="00F85E8F" w:rsidP="00F85E8F">
      <w:pPr>
        <w:jc w:val="both"/>
        <w:rPr>
          <w:b/>
          <w:sz w:val="20"/>
          <w:szCs w:val="20"/>
          <w:u w:val="single"/>
        </w:rPr>
      </w:pPr>
    </w:p>
    <w:p w14:paraId="192BB4F9" w14:textId="50944176" w:rsidR="00F85E8F" w:rsidRPr="00134B38" w:rsidRDefault="00F85E8F" w:rsidP="00F85E8F">
      <w:pPr>
        <w:jc w:val="both"/>
        <w:rPr>
          <w:b/>
          <w:color w:val="FF0000"/>
          <w:sz w:val="24"/>
          <w:szCs w:val="24"/>
          <w:u w:val="single"/>
        </w:rPr>
      </w:pPr>
      <w:r w:rsidRPr="00134B38">
        <w:rPr>
          <w:b/>
          <w:color w:val="FF0000"/>
          <w:sz w:val="24"/>
          <w:szCs w:val="24"/>
          <w:u w:val="single"/>
        </w:rPr>
        <w:t>Article 2</w:t>
      </w:r>
    </w:p>
    <w:p w14:paraId="3E46B35F" w14:textId="18F34432" w:rsidR="00F85E8F" w:rsidRPr="00134B38" w:rsidRDefault="00F85E8F" w:rsidP="00F85E8F">
      <w:pPr>
        <w:jc w:val="both"/>
        <w:rPr>
          <w:b/>
          <w:iCs/>
          <w:u w:val="single"/>
        </w:rPr>
      </w:pPr>
      <w:r w:rsidRPr="00134B38">
        <w:rPr>
          <w:b/>
          <w:iCs/>
          <w:u w:val="single"/>
        </w:rPr>
        <w:t>Art. 2. § 1</w:t>
      </w:r>
    </w:p>
    <w:p w14:paraId="395C2871" w14:textId="77777777" w:rsidR="00F85E8F" w:rsidRPr="00134B38" w:rsidRDefault="00F85E8F" w:rsidP="00F85E8F">
      <w:pPr>
        <w:jc w:val="both"/>
        <w:rPr>
          <w:b/>
          <w:color w:val="FF0000"/>
          <w:sz w:val="24"/>
          <w:szCs w:val="24"/>
          <w:u w:val="single"/>
        </w:rPr>
      </w:pPr>
      <w:r w:rsidRPr="00134B38">
        <w:rPr>
          <w:bCs/>
          <w:iCs/>
          <w:sz w:val="24"/>
          <w:szCs w:val="24"/>
        </w:rPr>
        <w:t>Sans préjudice de l’art. 63 du Code rural, l’exercice de la fonction de GCP est subordonné à l’obtention de l’agrément tel qu’organisé par le présent arrêté.</w:t>
      </w:r>
    </w:p>
    <w:p w14:paraId="1F88443B" w14:textId="3A755489" w:rsidR="00F85E8F" w:rsidRPr="00134B38" w:rsidRDefault="00F85E8F" w:rsidP="00F85E8F">
      <w:pPr>
        <w:jc w:val="both"/>
        <w:rPr>
          <w:b/>
          <w:iCs/>
        </w:rPr>
      </w:pPr>
      <w:r w:rsidRPr="00134B38">
        <w:rPr>
          <w:b/>
          <w:iCs/>
          <w:u w:val="single"/>
        </w:rPr>
        <w:t>Art. 2. § 2</w:t>
      </w:r>
    </w:p>
    <w:p w14:paraId="49AE425B" w14:textId="77777777" w:rsidR="00F85E8F" w:rsidRPr="00134B38" w:rsidRDefault="00F85E8F" w:rsidP="00F85E8F">
      <w:pPr>
        <w:jc w:val="both"/>
        <w:rPr>
          <w:bCs/>
          <w:iCs/>
          <w:sz w:val="24"/>
          <w:szCs w:val="24"/>
        </w:rPr>
      </w:pPr>
      <w:r w:rsidRPr="00134B38">
        <w:rPr>
          <w:bCs/>
          <w:iCs/>
          <w:sz w:val="24"/>
          <w:szCs w:val="24"/>
        </w:rPr>
        <w:t xml:space="preserve">La validité de l’agrément est d’une durée de cinq ans à compter de la délivrance de l’acte d’agrément visé à l’art. 7, hormis lorsqu’il est constaté durant cette période que tout ou partie des conditions visées à l’art. 3, 2° à 12° cesse(nt) d’être remplie(s) par le GCP. L’agrément est alors retiré après que le gouverneur ou son représentant ait entendu l’intéressé. </w:t>
      </w:r>
    </w:p>
    <w:p w14:paraId="3D347C5E" w14:textId="62999EFE" w:rsidR="00F85E8F" w:rsidRPr="00134B38" w:rsidRDefault="00F85E8F" w:rsidP="00F85E8F">
      <w:pPr>
        <w:jc w:val="both"/>
        <w:rPr>
          <w:b/>
          <w:iCs/>
          <w:u w:val="single"/>
        </w:rPr>
      </w:pPr>
      <w:r w:rsidRPr="00134B38">
        <w:rPr>
          <w:b/>
          <w:iCs/>
          <w:u w:val="single"/>
        </w:rPr>
        <w:t>Art. 2. § 3</w:t>
      </w:r>
    </w:p>
    <w:p w14:paraId="2193FDCA" w14:textId="77777777" w:rsidR="00F85E8F" w:rsidRPr="00134B38" w:rsidRDefault="00F85E8F" w:rsidP="00F85E8F">
      <w:pPr>
        <w:jc w:val="both"/>
        <w:rPr>
          <w:bCs/>
          <w:iCs/>
          <w:sz w:val="24"/>
          <w:szCs w:val="24"/>
        </w:rPr>
      </w:pPr>
      <w:r w:rsidRPr="00134B38">
        <w:rPr>
          <w:bCs/>
          <w:iCs/>
          <w:sz w:val="24"/>
          <w:szCs w:val="24"/>
        </w:rPr>
        <w:t>L’agrément peut être prolongé pour un nouveau terme de de cinq ans aux conditions définies par le présent arrêté.</w:t>
      </w:r>
    </w:p>
    <w:p w14:paraId="457BE77A" w14:textId="546C8791" w:rsidR="00F85E8F" w:rsidRPr="00134B38" w:rsidRDefault="00F85E8F" w:rsidP="00F85E8F">
      <w:pPr>
        <w:jc w:val="both"/>
        <w:rPr>
          <w:b/>
          <w:iCs/>
          <w:u w:val="single"/>
        </w:rPr>
      </w:pPr>
      <w:r w:rsidRPr="00134B38">
        <w:rPr>
          <w:b/>
          <w:iCs/>
          <w:u w:val="single"/>
        </w:rPr>
        <w:t>Art. 2. § 4</w:t>
      </w:r>
    </w:p>
    <w:p w14:paraId="3D6C1CE5" w14:textId="77777777" w:rsidR="00F85E8F" w:rsidRPr="00134B38" w:rsidRDefault="00F85E8F" w:rsidP="00F85E8F">
      <w:pPr>
        <w:jc w:val="both"/>
        <w:rPr>
          <w:bCs/>
          <w:iCs/>
          <w:sz w:val="24"/>
          <w:szCs w:val="24"/>
        </w:rPr>
      </w:pPr>
      <w:r w:rsidRPr="00134B38">
        <w:rPr>
          <w:bCs/>
          <w:iCs/>
          <w:sz w:val="24"/>
          <w:szCs w:val="24"/>
        </w:rPr>
        <w:t>Le terme de validité et le retrait de l’agrément entraînent de plein droit la fin de la fonction de GCP.</w:t>
      </w:r>
    </w:p>
    <w:p w14:paraId="779D5468" w14:textId="02BAD43B" w:rsidR="00F85E8F" w:rsidRPr="00134B38" w:rsidRDefault="00F85E8F" w:rsidP="00F85E8F">
      <w:pPr>
        <w:jc w:val="both"/>
        <w:rPr>
          <w:b/>
          <w:iCs/>
          <w:u w:val="single"/>
        </w:rPr>
      </w:pPr>
      <w:r w:rsidRPr="00134B38">
        <w:rPr>
          <w:b/>
          <w:iCs/>
          <w:u w:val="single"/>
        </w:rPr>
        <w:t>Art. 2. § 5</w:t>
      </w:r>
    </w:p>
    <w:p w14:paraId="69BC041A" w14:textId="77777777" w:rsidR="00F85E8F" w:rsidRPr="00134B38" w:rsidRDefault="00F85E8F" w:rsidP="00F85E8F">
      <w:pPr>
        <w:jc w:val="both"/>
        <w:rPr>
          <w:bCs/>
          <w:iCs/>
          <w:sz w:val="24"/>
          <w:szCs w:val="24"/>
        </w:rPr>
      </w:pPr>
      <w:r w:rsidRPr="00134B38">
        <w:rPr>
          <w:bCs/>
          <w:iCs/>
          <w:sz w:val="24"/>
          <w:szCs w:val="24"/>
        </w:rPr>
        <w:t>Lorsqu’en cours de validité de son agrément, le GCP change de commettant ou que la surveillance d’autres biens lui est confiée, il conserve l’agrément qui lui a été précédemment conféré sans préjudice de l’application des dispositions de l’art. 15.</w:t>
      </w:r>
    </w:p>
    <w:p w14:paraId="406A1788" w14:textId="77777777" w:rsidR="00F85E8F" w:rsidRPr="00134B38" w:rsidRDefault="00F85E8F" w:rsidP="00F85E8F">
      <w:pPr>
        <w:jc w:val="both"/>
        <w:rPr>
          <w:b/>
          <w:iCs/>
          <w:color w:val="FF0000"/>
          <w:sz w:val="24"/>
          <w:szCs w:val="24"/>
          <w:u w:val="single"/>
        </w:rPr>
      </w:pPr>
      <w:r w:rsidRPr="00134B38">
        <w:rPr>
          <w:b/>
          <w:iCs/>
          <w:color w:val="FF0000"/>
          <w:sz w:val="24"/>
          <w:szCs w:val="24"/>
          <w:u w:val="single"/>
        </w:rPr>
        <w:t>Article 6</w:t>
      </w:r>
    </w:p>
    <w:p w14:paraId="41158C5B" w14:textId="77777777" w:rsidR="00F85E8F" w:rsidRPr="00134B38" w:rsidRDefault="00F85E8F" w:rsidP="00F85E8F">
      <w:pPr>
        <w:jc w:val="both"/>
        <w:rPr>
          <w:bCs/>
          <w:sz w:val="24"/>
          <w:szCs w:val="24"/>
        </w:rPr>
      </w:pPr>
      <w:r w:rsidRPr="00134B38">
        <w:rPr>
          <w:bCs/>
          <w:sz w:val="24"/>
          <w:szCs w:val="24"/>
        </w:rPr>
        <w:t>Le candidat GCP communique les pièces suivantes au gouverneur de la province où se situe le territoire pour lequel il est désigné en vue d’être agréé :</w:t>
      </w:r>
    </w:p>
    <w:p w14:paraId="72B651A0" w14:textId="77777777" w:rsidR="00F85E8F" w:rsidRPr="00134B38" w:rsidRDefault="00F85E8F" w:rsidP="00F85E8F">
      <w:pPr>
        <w:jc w:val="both"/>
        <w:rPr>
          <w:sz w:val="24"/>
          <w:szCs w:val="24"/>
        </w:rPr>
      </w:pPr>
      <w:r w:rsidRPr="00134B38">
        <w:rPr>
          <w:sz w:val="24"/>
          <w:szCs w:val="24"/>
        </w:rPr>
        <w:t>1° l’acte de désignation ;</w:t>
      </w:r>
    </w:p>
    <w:p w14:paraId="57666DC5" w14:textId="77777777" w:rsidR="00F85E8F" w:rsidRPr="00134B38" w:rsidRDefault="00F85E8F" w:rsidP="00F85E8F">
      <w:pPr>
        <w:jc w:val="both"/>
        <w:rPr>
          <w:bCs/>
          <w:sz w:val="24"/>
          <w:szCs w:val="24"/>
        </w:rPr>
      </w:pPr>
      <w:r w:rsidRPr="00134B38">
        <w:rPr>
          <w:sz w:val="24"/>
          <w:szCs w:val="24"/>
        </w:rPr>
        <w:t>2° une copie de l’extrait du casier judiciaire (ne datant pas de plus de trois mois) ;</w:t>
      </w:r>
    </w:p>
    <w:p w14:paraId="0F8E0825" w14:textId="77777777" w:rsidR="00F85E8F" w:rsidRPr="00134B38" w:rsidRDefault="00F85E8F" w:rsidP="00F85E8F">
      <w:pPr>
        <w:jc w:val="both"/>
        <w:rPr>
          <w:sz w:val="24"/>
          <w:szCs w:val="24"/>
        </w:rPr>
      </w:pPr>
      <w:r w:rsidRPr="00134B38">
        <w:rPr>
          <w:sz w:val="24"/>
          <w:szCs w:val="24"/>
        </w:rPr>
        <w:t>3° une déclaration sur l’honneur par laquelle le candidat confirme satisfaire aux conditions visées à l’article 3, 5° à 10.</w:t>
      </w:r>
    </w:p>
    <w:p w14:paraId="56DB244B" w14:textId="77777777" w:rsidR="00F85E8F" w:rsidRPr="00134B38" w:rsidRDefault="00F85E8F" w:rsidP="00F85E8F">
      <w:pPr>
        <w:jc w:val="both"/>
        <w:rPr>
          <w:bCs/>
          <w:sz w:val="24"/>
          <w:szCs w:val="24"/>
        </w:rPr>
      </w:pPr>
      <w:r w:rsidRPr="00134B38">
        <w:rPr>
          <w:sz w:val="24"/>
          <w:szCs w:val="24"/>
        </w:rPr>
        <w:t>4° lorsque le territoire sous sa garde est un terrain de chasse et que la réglementation impose au commettant l’introduction d’un plan de chasse, la preuve de l’introduction de pareil plan.</w:t>
      </w:r>
    </w:p>
    <w:p w14:paraId="300C3B92" w14:textId="77777777" w:rsidR="00F85E8F" w:rsidRPr="00134B38" w:rsidRDefault="00F85E8F" w:rsidP="00F85E8F">
      <w:pPr>
        <w:jc w:val="both"/>
        <w:rPr>
          <w:sz w:val="24"/>
          <w:szCs w:val="24"/>
        </w:rPr>
      </w:pPr>
      <w:r w:rsidRPr="00134B38">
        <w:rPr>
          <w:sz w:val="24"/>
          <w:szCs w:val="24"/>
        </w:rPr>
        <w:t>5° un certificat de réussite de l’examen théorique et pratique de chasse organisé par la Région flamande ou la Région wallonne, ou un titre considéré comme équivalent à pareil certificat par l’autorité régionale, à moins que le gouverneur n’en dispense le candidat dans la mesure où le territoire placé sous sa garde est de nature telle qu’il ne faut pas nécessairement avoir connaissance de la législation de chasse ;</w:t>
      </w:r>
    </w:p>
    <w:p w14:paraId="60562036" w14:textId="77777777" w:rsidR="00F85E8F" w:rsidRPr="00134B38" w:rsidRDefault="00F85E8F" w:rsidP="00F85E8F">
      <w:pPr>
        <w:jc w:val="both"/>
        <w:rPr>
          <w:sz w:val="24"/>
          <w:szCs w:val="24"/>
        </w:rPr>
      </w:pPr>
      <w:r w:rsidRPr="00134B38">
        <w:rPr>
          <w:sz w:val="24"/>
          <w:szCs w:val="24"/>
        </w:rPr>
        <w:t>6° l’attestation de réussite de la formation de base ou du recyclage délivrée depuis moins de cinq ans. </w:t>
      </w:r>
    </w:p>
    <w:p w14:paraId="28CA2FA4" w14:textId="77777777" w:rsidR="00F85E8F" w:rsidRPr="00134B38" w:rsidRDefault="00F85E8F" w:rsidP="00F85E8F">
      <w:pPr>
        <w:jc w:val="both"/>
        <w:rPr>
          <w:b/>
          <w:bCs/>
          <w:color w:val="FF0000"/>
          <w:sz w:val="24"/>
          <w:szCs w:val="24"/>
          <w:u w:val="single"/>
        </w:rPr>
      </w:pPr>
      <w:r w:rsidRPr="00134B38">
        <w:rPr>
          <w:b/>
          <w:bCs/>
          <w:color w:val="FF0000"/>
          <w:sz w:val="24"/>
          <w:szCs w:val="24"/>
          <w:u w:val="single"/>
        </w:rPr>
        <w:t>Article 7</w:t>
      </w:r>
    </w:p>
    <w:p w14:paraId="6F926AD6" w14:textId="77777777" w:rsidR="00F85E8F" w:rsidRPr="00134B38" w:rsidRDefault="00F85E8F" w:rsidP="00F85E8F">
      <w:pPr>
        <w:jc w:val="both"/>
        <w:rPr>
          <w:b/>
          <w:bCs/>
          <w:color w:val="FF0000"/>
          <w:sz w:val="24"/>
          <w:szCs w:val="24"/>
        </w:rPr>
      </w:pPr>
      <w:r w:rsidRPr="00134B38">
        <w:rPr>
          <w:sz w:val="24"/>
          <w:szCs w:val="24"/>
        </w:rPr>
        <w:t>Lorsqu’il satisfait à toutes les formalités et conditions d’agrément, le gouverneur agrée le GCP et dresse un acte d’agrément à cet effet.</w:t>
      </w:r>
    </w:p>
    <w:p w14:paraId="5F197FCA" w14:textId="77777777" w:rsidR="00F85E8F" w:rsidRPr="00134B38" w:rsidRDefault="00F85E8F" w:rsidP="00F85E8F">
      <w:pPr>
        <w:jc w:val="both"/>
        <w:rPr>
          <w:b/>
          <w:color w:val="0070C0"/>
          <w:sz w:val="24"/>
          <w:szCs w:val="24"/>
        </w:rPr>
      </w:pPr>
    </w:p>
    <w:p w14:paraId="7E7F91AE" w14:textId="77777777" w:rsidR="00A378E9" w:rsidRDefault="00A378E9" w:rsidP="00A36FCD">
      <w:pPr>
        <w:pStyle w:val="NormalWeb"/>
        <w:spacing w:before="0" w:beforeAutospacing="0" w:after="0" w:afterAutospacing="0"/>
        <w:jc w:val="both"/>
        <w:rPr>
          <w:rFonts w:asciiTheme="minorHAnsi" w:hAnsiTheme="minorHAnsi" w:cstheme="minorHAnsi"/>
          <w:b/>
          <w:bCs/>
          <w:u w:val="single"/>
        </w:rPr>
      </w:pPr>
      <w:r w:rsidRPr="009F7671">
        <w:rPr>
          <w:rStyle w:val="pchapitre"/>
          <w:rFonts w:asciiTheme="minorHAnsi" w:hAnsiTheme="minorHAnsi" w:cstheme="minorHAnsi"/>
          <w:b/>
          <w:highlight w:val="yellow"/>
          <w:u w:val="single"/>
        </w:rPr>
        <w:t xml:space="preserve">3. LA VALIDITE DE L’AGREATION : </w:t>
      </w:r>
      <w:r w:rsidRPr="009F7671">
        <w:rPr>
          <w:rFonts w:asciiTheme="minorHAnsi" w:hAnsiTheme="minorHAnsi" w:cstheme="minorHAnsi"/>
          <w:b/>
          <w:bCs/>
          <w:highlight w:val="yellow"/>
          <w:u w:val="single"/>
        </w:rPr>
        <w:t>CHAPITRE II. - 2 § 2</w:t>
      </w:r>
      <w:r w:rsidRPr="009F7671">
        <w:rPr>
          <w:rFonts w:asciiTheme="minorHAnsi" w:hAnsiTheme="minorHAnsi" w:cstheme="minorHAnsi"/>
          <w:b/>
          <w:bCs/>
          <w:u w:val="single"/>
        </w:rPr>
        <w:t> :</w:t>
      </w:r>
    </w:p>
    <w:p w14:paraId="7F04B70B" w14:textId="77777777" w:rsidR="00A378E9" w:rsidRPr="00BA4542" w:rsidRDefault="00A378E9" w:rsidP="00A36FCD">
      <w:pPr>
        <w:pStyle w:val="NormalWeb"/>
        <w:spacing w:before="0" w:beforeAutospacing="0" w:after="0" w:afterAutospacing="0"/>
        <w:jc w:val="both"/>
        <w:rPr>
          <w:rFonts w:asciiTheme="minorHAnsi" w:hAnsiTheme="minorHAnsi" w:cstheme="minorHAnsi"/>
          <w:b/>
          <w:bCs/>
          <w:sz w:val="20"/>
          <w:szCs w:val="20"/>
          <w:u w:val="single"/>
        </w:rPr>
      </w:pPr>
    </w:p>
    <w:p w14:paraId="72EF247E" w14:textId="77777777" w:rsidR="00A378E9" w:rsidRDefault="00A378E9" w:rsidP="00A36FCD">
      <w:pPr>
        <w:pStyle w:val="NormalWeb"/>
        <w:spacing w:before="0" w:beforeAutospacing="0" w:after="0" w:afterAutospacing="0"/>
        <w:jc w:val="both"/>
        <w:rPr>
          <w:rFonts w:asciiTheme="minorHAnsi" w:hAnsiTheme="minorHAnsi" w:cstheme="minorHAnsi"/>
        </w:rPr>
      </w:pPr>
      <w:r w:rsidRPr="0041043D">
        <w:rPr>
          <w:rFonts w:asciiTheme="minorHAnsi" w:hAnsiTheme="minorHAnsi" w:cstheme="minorHAnsi"/>
        </w:rPr>
        <w:t>La validité de l’agréation est d’une durée de cinq ans à compter de la délivrance de l’acte d’agrément visé à l'article 7, hormis lorsqu'il est constaté durant cette période que tout ou partie des conditions visées à l'article 3, 2° à 12° cesse(nt) d'être remplie(s) par le garde champêtre particulier. L'agrément est alors retiré après que le gouverneur ou son représentant ait entendu l'intéressé.</w:t>
      </w:r>
    </w:p>
    <w:p w14:paraId="5B57ED95" w14:textId="77777777" w:rsidR="00A378E9" w:rsidRPr="0041043D" w:rsidRDefault="00A378E9" w:rsidP="00A36FCD">
      <w:pPr>
        <w:pStyle w:val="NormalWeb"/>
        <w:spacing w:before="0" w:beforeAutospacing="0" w:after="0" w:afterAutospacing="0"/>
        <w:jc w:val="both"/>
        <w:rPr>
          <w:rFonts w:asciiTheme="minorHAnsi" w:hAnsiTheme="minorHAnsi" w:cstheme="minorHAnsi"/>
          <w:b/>
          <w:bCs/>
          <w:u w:val="single"/>
        </w:rPr>
      </w:pPr>
    </w:p>
    <w:p w14:paraId="5742580D" w14:textId="77777777" w:rsidR="00A378E9" w:rsidRDefault="00A378E9" w:rsidP="00A36FCD">
      <w:pPr>
        <w:jc w:val="both"/>
        <w:rPr>
          <w:rFonts w:cstheme="minorHAnsi"/>
          <w:b/>
          <w:sz w:val="24"/>
          <w:szCs w:val="24"/>
          <w:u w:val="single"/>
        </w:rPr>
      </w:pPr>
      <w:r w:rsidRPr="009F7671">
        <w:rPr>
          <w:rFonts w:cstheme="minorHAnsi"/>
          <w:b/>
          <w:sz w:val="24"/>
          <w:szCs w:val="24"/>
          <w:highlight w:val="yellow"/>
          <w:u w:val="single"/>
        </w:rPr>
        <w:t>4.PRESTATION DE SERMENT</w:t>
      </w:r>
      <w:r w:rsidRPr="00AD0CDB">
        <w:rPr>
          <w:rFonts w:cstheme="minorHAnsi"/>
          <w:b/>
          <w:sz w:val="24"/>
          <w:szCs w:val="24"/>
          <w:u w:val="single"/>
        </w:rPr>
        <w:t> :</w:t>
      </w:r>
    </w:p>
    <w:p w14:paraId="2738CC48" w14:textId="77777777" w:rsidR="00A378E9" w:rsidRPr="00BA4542" w:rsidRDefault="00A378E9" w:rsidP="00A36FCD">
      <w:pPr>
        <w:jc w:val="both"/>
        <w:rPr>
          <w:rFonts w:cstheme="minorHAnsi"/>
          <w:b/>
          <w:sz w:val="20"/>
          <w:szCs w:val="20"/>
          <w:u w:val="single"/>
        </w:rPr>
      </w:pPr>
    </w:p>
    <w:p w14:paraId="4901ACAA" w14:textId="77777777" w:rsidR="00A378E9" w:rsidRPr="00CA4D5A" w:rsidRDefault="00A378E9" w:rsidP="00A36FCD">
      <w:pPr>
        <w:jc w:val="both"/>
        <w:rPr>
          <w:rFonts w:cstheme="minorHAnsi"/>
          <w:sz w:val="24"/>
          <w:szCs w:val="24"/>
        </w:rPr>
      </w:pPr>
      <w:r w:rsidRPr="00CA4D5A">
        <w:rPr>
          <w:rFonts w:cstheme="minorHAnsi"/>
          <w:sz w:val="24"/>
          <w:szCs w:val="24"/>
        </w:rPr>
        <w:t xml:space="preserve">Pour prêter serment, </w:t>
      </w:r>
      <w:r>
        <w:rPr>
          <w:rFonts w:cstheme="minorHAnsi"/>
          <w:sz w:val="24"/>
          <w:szCs w:val="24"/>
        </w:rPr>
        <w:t xml:space="preserve">le candidat GCP prend </w:t>
      </w:r>
      <w:r w:rsidRPr="00CA4D5A">
        <w:rPr>
          <w:rFonts w:cstheme="minorHAnsi"/>
          <w:sz w:val="24"/>
          <w:szCs w:val="24"/>
        </w:rPr>
        <w:t xml:space="preserve">rendez-vous auprès de la justice de paix du canton de </w:t>
      </w:r>
      <w:r>
        <w:rPr>
          <w:rFonts w:cstheme="minorHAnsi"/>
          <w:sz w:val="24"/>
          <w:szCs w:val="24"/>
        </w:rPr>
        <w:t>son</w:t>
      </w:r>
      <w:r w:rsidRPr="00CA4D5A">
        <w:rPr>
          <w:rFonts w:cstheme="minorHAnsi"/>
          <w:sz w:val="24"/>
          <w:szCs w:val="24"/>
        </w:rPr>
        <w:t xml:space="preserve"> domicile et </w:t>
      </w:r>
      <w:r>
        <w:rPr>
          <w:rFonts w:cstheme="minorHAnsi"/>
          <w:sz w:val="24"/>
          <w:szCs w:val="24"/>
        </w:rPr>
        <w:t>s’</w:t>
      </w:r>
      <w:r w:rsidRPr="00CA4D5A">
        <w:rPr>
          <w:rFonts w:cstheme="minorHAnsi"/>
          <w:sz w:val="24"/>
          <w:szCs w:val="24"/>
        </w:rPr>
        <w:t xml:space="preserve">y présente avec </w:t>
      </w:r>
      <w:r>
        <w:rPr>
          <w:rFonts w:cstheme="minorHAnsi"/>
          <w:sz w:val="24"/>
          <w:szCs w:val="24"/>
        </w:rPr>
        <w:t xml:space="preserve">son </w:t>
      </w:r>
      <w:r w:rsidRPr="00CA4D5A">
        <w:rPr>
          <w:rFonts w:cstheme="minorHAnsi"/>
          <w:sz w:val="24"/>
          <w:szCs w:val="24"/>
        </w:rPr>
        <w:t>acte d’agrément.</w:t>
      </w:r>
    </w:p>
    <w:p w14:paraId="6049CCAC" w14:textId="77777777" w:rsidR="00A378E9" w:rsidRPr="00CA4D5A" w:rsidRDefault="00A378E9" w:rsidP="00A36FCD">
      <w:pPr>
        <w:jc w:val="both"/>
        <w:rPr>
          <w:rFonts w:cstheme="minorHAnsi"/>
          <w:sz w:val="24"/>
          <w:szCs w:val="24"/>
        </w:rPr>
      </w:pPr>
    </w:p>
    <w:p w14:paraId="0A3DD74D" w14:textId="77777777" w:rsidR="00A378E9" w:rsidRPr="00CA4D5A" w:rsidRDefault="00A378E9" w:rsidP="00A36FCD">
      <w:pPr>
        <w:jc w:val="both"/>
        <w:rPr>
          <w:rFonts w:cstheme="minorHAnsi"/>
          <w:sz w:val="24"/>
          <w:szCs w:val="24"/>
        </w:rPr>
      </w:pPr>
      <w:r>
        <w:rPr>
          <w:rFonts w:cstheme="minorHAnsi"/>
          <w:sz w:val="24"/>
          <w:szCs w:val="24"/>
        </w:rPr>
        <w:lastRenderedPageBreak/>
        <w:t>Il ne peut</w:t>
      </w:r>
      <w:r w:rsidRPr="00CA4D5A">
        <w:rPr>
          <w:rFonts w:cstheme="minorHAnsi"/>
          <w:sz w:val="24"/>
          <w:szCs w:val="24"/>
        </w:rPr>
        <w:t xml:space="preserve"> entrer en fonction qu’après avoir fait enregistrer </w:t>
      </w:r>
      <w:r>
        <w:rPr>
          <w:rFonts w:cstheme="minorHAnsi"/>
          <w:sz w:val="24"/>
          <w:szCs w:val="24"/>
        </w:rPr>
        <w:t>sa</w:t>
      </w:r>
      <w:r w:rsidRPr="00CA4D5A">
        <w:rPr>
          <w:rFonts w:cstheme="minorHAnsi"/>
          <w:sz w:val="24"/>
          <w:szCs w:val="24"/>
        </w:rPr>
        <w:t xml:space="preserve"> commission de garde</w:t>
      </w:r>
      <w:r>
        <w:rPr>
          <w:rFonts w:cstheme="minorHAnsi"/>
          <w:sz w:val="24"/>
          <w:szCs w:val="24"/>
        </w:rPr>
        <w:t xml:space="preserve"> </w:t>
      </w:r>
      <w:r w:rsidRPr="00CA4D5A">
        <w:rPr>
          <w:rFonts w:cstheme="minorHAnsi"/>
          <w:sz w:val="24"/>
          <w:szCs w:val="24"/>
        </w:rPr>
        <w:t xml:space="preserve">champêtre particulier et </w:t>
      </w:r>
      <w:r>
        <w:rPr>
          <w:rFonts w:cstheme="minorHAnsi"/>
          <w:sz w:val="24"/>
          <w:szCs w:val="24"/>
        </w:rPr>
        <w:t>son</w:t>
      </w:r>
      <w:r w:rsidRPr="00CA4D5A">
        <w:rPr>
          <w:rFonts w:cstheme="minorHAnsi"/>
          <w:sz w:val="24"/>
          <w:szCs w:val="24"/>
        </w:rPr>
        <w:t xml:space="preserve"> acte de prestation de serment, au greffe des justices de paix dans lequel </w:t>
      </w:r>
      <w:r>
        <w:rPr>
          <w:rFonts w:cstheme="minorHAnsi"/>
          <w:sz w:val="24"/>
          <w:szCs w:val="24"/>
        </w:rPr>
        <w:t xml:space="preserve">il doive </w:t>
      </w:r>
      <w:r w:rsidRPr="00CA4D5A">
        <w:rPr>
          <w:rFonts w:cstheme="minorHAnsi"/>
          <w:sz w:val="24"/>
          <w:szCs w:val="24"/>
        </w:rPr>
        <w:t xml:space="preserve">exercer </w:t>
      </w:r>
      <w:r>
        <w:rPr>
          <w:rFonts w:cstheme="minorHAnsi"/>
          <w:sz w:val="24"/>
          <w:szCs w:val="24"/>
        </w:rPr>
        <w:t>leurs</w:t>
      </w:r>
      <w:r w:rsidRPr="00CA4D5A">
        <w:rPr>
          <w:rFonts w:cstheme="minorHAnsi"/>
          <w:sz w:val="24"/>
          <w:szCs w:val="24"/>
        </w:rPr>
        <w:t xml:space="preserve"> fonctions, conformément à l’article 63 du Code rural du 07 octobre 1886.</w:t>
      </w:r>
    </w:p>
    <w:p w14:paraId="01795F45" w14:textId="77777777" w:rsidR="00A378E9" w:rsidRPr="00CA4D5A" w:rsidRDefault="00A378E9" w:rsidP="00A36FCD">
      <w:pPr>
        <w:jc w:val="both"/>
        <w:rPr>
          <w:rFonts w:cstheme="minorHAnsi"/>
          <w:sz w:val="24"/>
          <w:szCs w:val="24"/>
        </w:rPr>
      </w:pPr>
    </w:p>
    <w:p w14:paraId="284899AF" w14:textId="77777777" w:rsidR="00A378E9" w:rsidRPr="00CA4D5A" w:rsidRDefault="00A378E9" w:rsidP="00A36FCD">
      <w:pPr>
        <w:jc w:val="both"/>
        <w:rPr>
          <w:rFonts w:cstheme="minorHAnsi"/>
          <w:sz w:val="24"/>
          <w:szCs w:val="24"/>
        </w:rPr>
      </w:pPr>
      <w:r w:rsidRPr="00CA4D5A">
        <w:rPr>
          <w:rFonts w:cstheme="minorHAnsi"/>
          <w:sz w:val="24"/>
          <w:szCs w:val="24"/>
        </w:rPr>
        <w:t>Le Gouverneur délivre</w:t>
      </w:r>
      <w:r>
        <w:rPr>
          <w:rFonts w:cstheme="minorHAnsi"/>
          <w:sz w:val="24"/>
          <w:szCs w:val="24"/>
        </w:rPr>
        <w:t xml:space="preserve"> la</w:t>
      </w:r>
      <w:r w:rsidRPr="00CA4D5A">
        <w:rPr>
          <w:rFonts w:cstheme="minorHAnsi"/>
          <w:sz w:val="24"/>
          <w:szCs w:val="24"/>
        </w:rPr>
        <w:t xml:space="preserve"> carte de légitimation après avoir reçu </w:t>
      </w:r>
      <w:r>
        <w:rPr>
          <w:rFonts w:cstheme="minorHAnsi"/>
          <w:sz w:val="24"/>
          <w:szCs w:val="24"/>
        </w:rPr>
        <w:t>la</w:t>
      </w:r>
      <w:r w:rsidRPr="00CA4D5A">
        <w:rPr>
          <w:rFonts w:cstheme="minorHAnsi"/>
          <w:sz w:val="24"/>
          <w:szCs w:val="24"/>
        </w:rPr>
        <w:t xml:space="preserve"> copie de </w:t>
      </w:r>
      <w:r>
        <w:rPr>
          <w:rFonts w:cstheme="minorHAnsi"/>
          <w:sz w:val="24"/>
          <w:szCs w:val="24"/>
        </w:rPr>
        <w:t>l’</w:t>
      </w:r>
      <w:r w:rsidRPr="00CA4D5A">
        <w:rPr>
          <w:rFonts w:cstheme="minorHAnsi"/>
          <w:sz w:val="24"/>
          <w:szCs w:val="24"/>
        </w:rPr>
        <w:t>acte de prestation de serment</w:t>
      </w:r>
      <w:r>
        <w:rPr>
          <w:rFonts w:cstheme="minorHAnsi"/>
          <w:sz w:val="24"/>
          <w:szCs w:val="24"/>
        </w:rPr>
        <w:t xml:space="preserve"> et la</w:t>
      </w:r>
      <w:r w:rsidRPr="00CA4D5A">
        <w:rPr>
          <w:rFonts w:cstheme="minorHAnsi"/>
          <w:sz w:val="24"/>
          <w:szCs w:val="24"/>
        </w:rPr>
        <w:t xml:space="preserve"> copie de l’enregistrement de </w:t>
      </w:r>
      <w:r>
        <w:rPr>
          <w:rFonts w:cstheme="minorHAnsi"/>
          <w:sz w:val="24"/>
          <w:szCs w:val="24"/>
        </w:rPr>
        <w:t>la</w:t>
      </w:r>
      <w:r w:rsidRPr="00CA4D5A">
        <w:rPr>
          <w:rFonts w:cstheme="minorHAnsi"/>
          <w:sz w:val="24"/>
          <w:szCs w:val="24"/>
        </w:rPr>
        <w:t xml:space="preserve"> commission de garde champêtre particulie</w:t>
      </w:r>
      <w:r>
        <w:rPr>
          <w:rFonts w:cstheme="minorHAnsi"/>
          <w:sz w:val="24"/>
          <w:szCs w:val="24"/>
        </w:rPr>
        <w:t>r</w:t>
      </w:r>
      <w:r w:rsidRPr="00CA4D5A">
        <w:rPr>
          <w:rFonts w:cstheme="minorHAnsi"/>
          <w:sz w:val="24"/>
          <w:szCs w:val="24"/>
        </w:rPr>
        <w:t>.</w:t>
      </w:r>
    </w:p>
    <w:p w14:paraId="2ED4E1A6" w14:textId="77777777" w:rsidR="003D2DBF" w:rsidRDefault="003D2DBF" w:rsidP="00A36FCD">
      <w:pPr>
        <w:pStyle w:val="Paragraphedeliste"/>
        <w:shd w:val="clear" w:color="auto" w:fill="FFFFFF"/>
        <w:spacing w:after="0" w:line="240" w:lineRule="auto"/>
        <w:ind w:left="0"/>
        <w:jc w:val="both"/>
        <w:rPr>
          <w:rFonts w:eastAsia="Times New Roman" w:cstheme="minorHAnsi"/>
          <w:b/>
          <w:bCs/>
          <w:sz w:val="24"/>
          <w:szCs w:val="24"/>
          <w:u w:val="single"/>
          <w:lang w:eastAsia="fr-BE"/>
        </w:rPr>
      </w:pPr>
    </w:p>
    <w:p w14:paraId="218F5BCD" w14:textId="42DCE1F2" w:rsidR="00A378E9" w:rsidRPr="000C28DE" w:rsidRDefault="00A378E9" w:rsidP="00A36FCD">
      <w:pPr>
        <w:pStyle w:val="Paragraphedeliste"/>
        <w:shd w:val="clear" w:color="auto" w:fill="FFFFFF"/>
        <w:spacing w:after="0" w:line="240" w:lineRule="auto"/>
        <w:ind w:left="0"/>
        <w:jc w:val="both"/>
        <w:rPr>
          <w:rFonts w:eastAsia="Times New Roman" w:cstheme="minorHAnsi"/>
          <w:b/>
          <w:bCs/>
          <w:sz w:val="24"/>
          <w:szCs w:val="24"/>
          <w:u w:val="single"/>
          <w:lang w:eastAsia="fr-BE"/>
        </w:rPr>
      </w:pPr>
      <w:r w:rsidRPr="000C28DE">
        <w:rPr>
          <w:rFonts w:eastAsia="Times New Roman" w:cstheme="minorHAnsi"/>
          <w:b/>
          <w:bCs/>
          <w:sz w:val="24"/>
          <w:szCs w:val="24"/>
          <w:u w:val="single"/>
          <w:lang w:eastAsia="fr-BE"/>
        </w:rPr>
        <w:t>Ex</w:t>
      </w:r>
      <w:r>
        <w:rPr>
          <w:rFonts w:eastAsia="Times New Roman" w:cstheme="minorHAnsi"/>
          <w:b/>
          <w:bCs/>
          <w:sz w:val="24"/>
          <w:szCs w:val="24"/>
          <w:u w:val="single"/>
          <w:lang w:eastAsia="fr-BE"/>
        </w:rPr>
        <w:t>emple d’un GCP qui a été agréé le 20/01/2020</w:t>
      </w:r>
      <w:r w:rsidRPr="000C28DE">
        <w:rPr>
          <w:rFonts w:eastAsia="Times New Roman" w:cstheme="minorHAnsi"/>
          <w:b/>
          <w:bCs/>
          <w:sz w:val="24"/>
          <w:szCs w:val="24"/>
          <w:lang w:eastAsia="fr-BE"/>
        </w:rPr>
        <w:t> :</w:t>
      </w:r>
    </w:p>
    <w:p w14:paraId="13C19451" w14:textId="77777777" w:rsidR="00A378E9" w:rsidRPr="000C28DE" w:rsidRDefault="00A378E9" w:rsidP="00A36FCD">
      <w:pPr>
        <w:pStyle w:val="Paragraphedeliste"/>
        <w:spacing w:after="0" w:line="240" w:lineRule="auto"/>
        <w:ind w:left="0"/>
        <w:jc w:val="both"/>
        <w:rPr>
          <w:rFonts w:cstheme="minorHAnsi"/>
          <w:color w:val="FF0000"/>
          <w:sz w:val="24"/>
          <w:szCs w:val="24"/>
        </w:rPr>
      </w:pPr>
      <w:r w:rsidRPr="000C28DE">
        <w:rPr>
          <w:rFonts w:cstheme="minorHAnsi"/>
          <w:color w:val="FF0000"/>
          <w:sz w:val="24"/>
          <w:szCs w:val="24"/>
        </w:rPr>
        <w:t>S</w:t>
      </w:r>
      <w:r>
        <w:rPr>
          <w:rFonts w:cstheme="minorHAnsi"/>
          <w:color w:val="FF0000"/>
          <w:sz w:val="24"/>
          <w:szCs w:val="24"/>
        </w:rPr>
        <w:t xml:space="preserve">on acte d’agrément est daté du </w:t>
      </w:r>
      <w:r w:rsidRPr="000C28DE">
        <w:rPr>
          <w:rFonts w:cstheme="minorHAnsi"/>
          <w:color w:val="FF0000"/>
          <w:sz w:val="24"/>
          <w:szCs w:val="24"/>
        </w:rPr>
        <w:t>20/01/2020</w:t>
      </w:r>
      <w:r>
        <w:rPr>
          <w:rFonts w:cstheme="minorHAnsi"/>
          <w:color w:val="FF0000"/>
          <w:sz w:val="24"/>
          <w:szCs w:val="24"/>
        </w:rPr>
        <w:t xml:space="preserve"> </w:t>
      </w:r>
      <w:r w:rsidRPr="000C28DE">
        <w:rPr>
          <w:rFonts w:cstheme="minorHAnsi"/>
          <w:color w:val="FF0000"/>
          <w:sz w:val="24"/>
          <w:szCs w:val="24"/>
        </w:rPr>
        <w:t xml:space="preserve">=&gt; sa carte de légitimation est valable </w:t>
      </w:r>
      <w:r w:rsidRPr="000C28DE">
        <w:rPr>
          <w:rFonts w:cstheme="minorHAnsi"/>
          <w:color w:val="FF0000"/>
          <w:sz w:val="24"/>
          <w:szCs w:val="24"/>
          <w:u w:val="single"/>
        </w:rPr>
        <w:t>CINQ ANS</w:t>
      </w:r>
      <w:r w:rsidRPr="000C28DE">
        <w:rPr>
          <w:rFonts w:cstheme="minorHAnsi"/>
          <w:color w:val="FF0000"/>
          <w:sz w:val="24"/>
          <w:szCs w:val="24"/>
        </w:rPr>
        <w:t xml:space="preserve"> =&gt; 20/01/2025</w:t>
      </w:r>
    </w:p>
    <w:p w14:paraId="0463922D" w14:textId="0056845E" w:rsidR="00A378E9" w:rsidRPr="000C28DE" w:rsidRDefault="00A378E9" w:rsidP="00A36FCD">
      <w:pPr>
        <w:pStyle w:val="Paragraphedeliste"/>
        <w:spacing w:after="0" w:line="240" w:lineRule="auto"/>
        <w:ind w:left="0"/>
        <w:jc w:val="both"/>
        <w:rPr>
          <w:rFonts w:cstheme="minorHAnsi"/>
          <w:sz w:val="24"/>
          <w:szCs w:val="24"/>
        </w:rPr>
      </w:pPr>
      <w:r w:rsidRPr="000C28DE">
        <w:rPr>
          <w:rFonts w:cstheme="minorHAnsi"/>
          <w:sz w:val="24"/>
          <w:szCs w:val="24"/>
        </w:rPr>
        <w:t>Pour la prolongation de son agrément (</w:t>
      </w:r>
      <w:r w:rsidRPr="000C28DE">
        <w:rPr>
          <w:rFonts w:cstheme="minorHAnsi"/>
          <w:sz w:val="24"/>
          <w:szCs w:val="24"/>
          <w:u w:val="single"/>
        </w:rPr>
        <w:t>CINQ ANS</w:t>
      </w:r>
      <w:r w:rsidRPr="000C28DE">
        <w:rPr>
          <w:rFonts w:cstheme="minorHAnsi"/>
          <w:sz w:val="24"/>
          <w:szCs w:val="24"/>
        </w:rPr>
        <w:t>), il devra suivre un cours de recyclage durant les deux années qui précèdent le terme de validité de son agrément en cours et obtenir une note minimum de 55 % des points lors de l’examen.</w:t>
      </w:r>
    </w:p>
    <w:p w14:paraId="11CA10E5" w14:textId="59323B45" w:rsidR="00C54644" w:rsidRPr="00A36FCD" w:rsidRDefault="00A378E9" w:rsidP="00A36FCD">
      <w:pPr>
        <w:pStyle w:val="Paragraphedeliste"/>
        <w:spacing w:after="0" w:line="240" w:lineRule="auto"/>
        <w:ind w:left="0"/>
        <w:jc w:val="both"/>
        <w:rPr>
          <w:rStyle w:val="pchapitre"/>
          <w:rFonts w:cstheme="minorHAnsi"/>
          <w:sz w:val="24"/>
          <w:szCs w:val="24"/>
        </w:rPr>
      </w:pPr>
      <w:r w:rsidRPr="000C28DE">
        <w:rPr>
          <w:rFonts w:cstheme="minorHAnsi"/>
          <w:color w:val="FF0000"/>
          <w:sz w:val="24"/>
          <w:szCs w:val="24"/>
        </w:rPr>
        <w:t xml:space="preserve">S’il réussit le recyclage, sa carte de légitimation qui expire le </w:t>
      </w:r>
      <w:r w:rsidRPr="000C28DE">
        <w:rPr>
          <w:rFonts w:cstheme="minorHAnsi"/>
          <w:color w:val="FF0000"/>
          <w:sz w:val="24"/>
          <w:szCs w:val="24"/>
          <w:u w:val="single"/>
        </w:rPr>
        <w:t>20/01/2025</w:t>
      </w:r>
      <w:r w:rsidRPr="000C28DE">
        <w:rPr>
          <w:rFonts w:cstheme="minorHAnsi"/>
          <w:color w:val="FF0000"/>
          <w:sz w:val="24"/>
          <w:szCs w:val="24"/>
        </w:rPr>
        <w:t xml:space="preserve">, sera prolongée jusqu’au </w:t>
      </w:r>
      <w:r w:rsidRPr="000C28DE">
        <w:rPr>
          <w:rFonts w:cstheme="minorHAnsi"/>
          <w:color w:val="FF0000"/>
          <w:sz w:val="24"/>
          <w:szCs w:val="24"/>
          <w:u w:val="single"/>
        </w:rPr>
        <w:t>20/01/2030</w:t>
      </w:r>
      <w:r w:rsidRPr="000C28DE">
        <w:rPr>
          <w:rFonts w:cstheme="minorHAnsi"/>
          <w:color w:val="FF0000"/>
          <w:sz w:val="24"/>
          <w:szCs w:val="24"/>
        </w:rPr>
        <w:t xml:space="preserve">. </w:t>
      </w:r>
    </w:p>
    <w:sectPr w:rsidR="00C54644" w:rsidRPr="00A36FCD" w:rsidSect="00A36FCD">
      <w:pgSz w:w="11906" w:h="16838"/>
      <w:pgMar w:top="680"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1B8"/>
    <w:multiLevelType w:val="hybridMultilevel"/>
    <w:tmpl w:val="88CEE7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A8B3FB5"/>
    <w:multiLevelType w:val="hybridMultilevel"/>
    <w:tmpl w:val="86828B0C"/>
    <w:lvl w:ilvl="0" w:tplc="080C0001">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508D03DD"/>
    <w:multiLevelType w:val="hybridMultilevel"/>
    <w:tmpl w:val="39D063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5371228"/>
    <w:multiLevelType w:val="hybridMultilevel"/>
    <w:tmpl w:val="594C4D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03391059">
    <w:abstractNumId w:val="1"/>
  </w:num>
  <w:num w:numId="2" w16cid:durableId="1555770553">
    <w:abstractNumId w:val="3"/>
  </w:num>
  <w:num w:numId="3" w16cid:durableId="1560358275">
    <w:abstractNumId w:val="2"/>
  </w:num>
  <w:num w:numId="4" w16cid:durableId="170008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44"/>
    <w:rsid w:val="00134B38"/>
    <w:rsid w:val="002F1A70"/>
    <w:rsid w:val="00311531"/>
    <w:rsid w:val="003D2DBF"/>
    <w:rsid w:val="00587620"/>
    <w:rsid w:val="00641168"/>
    <w:rsid w:val="006420E0"/>
    <w:rsid w:val="0068182B"/>
    <w:rsid w:val="00753F79"/>
    <w:rsid w:val="00895AA7"/>
    <w:rsid w:val="008A4274"/>
    <w:rsid w:val="009F7671"/>
    <w:rsid w:val="00A10169"/>
    <w:rsid w:val="00A36FCD"/>
    <w:rsid w:val="00A378E9"/>
    <w:rsid w:val="00A54C43"/>
    <w:rsid w:val="00B63243"/>
    <w:rsid w:val="00B966B0"/>
    <w:rsid w:val="00BA4542"/>
    <w:rsid w:val="00C54644"/>
    <w:rsid w:val="00C77819"/>
    <w:rsid w:val="00D9754C"/>
    <w:rsid w:val="00F05B15"/>
    <w:rsid w:val="00F85E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E139"/>
  <w15:chartTrackingRefBased/>
  <w15:docId w15:val="{941ED6C7-1AC4-4CAC-8E15-1514BF8D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4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4644"/>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pchapitre">
    <w:name w:val="p_chapitre"/>
    <w:basedOn w:val="Policepardfaut"/>
    <w:rsid w:val="00C54644"/>
  </w:style>
  <w:style w:type="character" w:customStyle="1" w:styleId="particle">
    <w:name w:val="p_article"/>
    <w:basedOn w:val="Policepardfaut"/>
    <w:rsid w:val="00C54644"/>
  </w:style>
  <w:style w:type="character" w:customStyle="1" w:styleId="plist">
    <w:name w:val="p_list"/>
    <w:basedOn w:val="Policepardfaut"/>
    <w:rsid w:val="00C54644"/>
  </w:style>
  <w:style w:type="paragraph" w:styleId="Paragraphedeliste">
    <w:name w:val="List Paragraph"/>
    <w:basedOn w:val="Normal"/>
    <w:uiPriority w:val="34"/>
    <w:qFormat/>
    <w:rsid w:val="00C5464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1040</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Bogaert</dc:creator>
  <cp:keywords/>
  <dc:description/>
  <cp:lastModifiedBy>Chantal Bogaert</cp:lastModifiedBy>
  <cp:revision>27</cp:revision>
  <cp:lastPrinted>2021-10-06T08:30:00Z</cp:lastPrinted>
  <dcterms:created xsi:type="dcterms:W3CDTF">2021-10-06T08:26:00Z</dcterms:created>
  <dcterms:modified xsi:type="dcterms:W3CDTF">2022-04-11T09:34:00Z</dcterms:modified>
</cp:coreProperties>
</file>